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948C5" w14:textId="5E295F8B" w:rsidR="0096015A" w:rsidRPr="0097650A" w:rsidRDefault="0096015A" w:rsidP="0097650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  <w:u w:val="none"/>
        </w:rPr>
      </w:pPr>
      <w:bookmarkStart w:id="0" w:name="_Hlk135209006"/>
      <w:r w:rsidRPr="009765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74433740" wp14:editId="4075C2E9">
            <wp:simplePos x="0" y="0"/>
            <wp:positionH relativeFrom="page">
              <wp:posOffset>2185035</wp:posOffset>
            </wp:positionH>
            <wp:positionV relativeFrom="paragraph">
              <wp:posOffset>-9525</wp:posOffset>
            </wp:positionV>
            <wp:extent cx="5762625" cy="523875"/>
            <wp:effectExtent l="0" t="0" r="9525" b="9525"/>
            <wp:wrapNone/>
            <wp:docPr id="728727777" name="Obraz 728727777" descr="Ciąg logotypów: Fundusze Europejskie dla Rozwoju Społecznego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727777" name="Obraz 728727777" descr="Ciąg logotypów: Fundusze Europejskie dla Rozwoju Społecznego; Rzeczpospolita Polska; Dofinansowane przez Unię Europejską. PARP,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62ED7" w14:textId="77777777" w:rsidR="0096015A" w:rsidRPr="0097650A" w:rsidRDefault="0096015A" w:rsidP="0097650A">
      <w:pPr>
        <w:spacing w:line="276" w:lineRule="auto"/>
        <w:rPr>
          <w:rFonts w:asciiTheme="minorHAnsi" w:hAnsiTheme="minorHAnsi" w:cstheme="minorHAnsi"/>
          <w:sz w:val="24"/>
          <w:szCs w:val="24"/>
          <w:u w:val="none"/>
        </w:rPr>
      </w:pPr>
    </w:p>
    <w:p w14:paraId="673A97D3" w14:textId="6D0A95EA" w:rsidR="00422F0D" w:rsidRPr="0097650A" w:rsidRDefault="00422F0D" w:rsidP="0097650A">
      <w:pPr>
        <w:spacing w:after="10" w:line="276" w:lineRule="auto"/>
        <w:rPr>
          <w:rFonts w:asciiTheme="minorHAnsi" w:hAnsiTheme="minorHAnsi" w:cstheme="minorHAnsi"/>
          <w:sz w:val="24"/>
          <w:szCs w:val="24"/>
          <w:u w:val="none"/>
        </w:rPr>
      </w:pPr>
      <w:r w:rsidRPr="0097650A">
        <w:rPr>
          <w:rFonts w:asciiTheme="minorHAnsi" w:hAnsiTheme="minorHAnsi" w:cstheme="minorHAnsi"/>
          <w:sz w:val="24"/>
          <w:szCs w:val="24"/>
          <w:u w:val="none"/>
        </w:rPr>
        <w:t>Załącznik nr 12 do Regulaminu wyboru projektów</w:t>
      </w:r>
    </w:p>
    <w:p w14:paraId="00DDFFBC" w14:textId="3B607EE2" w:rsidR="00EF1534" w:rsidRPr="0097650A" w:rsidRDefault="00EF1534" w:rsidP="0097650A">
      <w:pPr>
        <w:pStyle w:val="Nagwek1"/>
        <w:spacing w:after="240" w:line="276" w:lineRule="auto"/>
        <w:rPr>
          <w:rFonts w:asciiTheme="minorHAnsi" w:hAnsiTheme="minorHAnsi" w:cstheme="minorHAnsi"/>
          <w:b/>
          <w:bCs/>
          <w:color w:val="auto"/>
          <w:u w:val="none"/>
        </w:rPr>
      </w:pPr>
      <w:r w:rsidRPr="0097650A">
        <w:rPr>
          <w:rFonts w:asciiTheme="minorHAnsi" w:hAnsiTheme="minorHAnsi" w:cstheme="minorHAnsi"/>
          <w:b/>
          <w:bCs/>
          <w:color w:val="auto"/>
          <w:u w:val="none"/>
        </w:rPr>
        <w:t>Zestawienie standardu i cen rynkowych dla programu Fundusze Europejskie dla Rozwoju Społecznego 2021-2027</w:t>
      </w:r>
    </w:p>
    <w:p w14:paraId="7FF07073" w14:textId="3E01B0EC" w:rsidR="00B90490" w:rsidRPr="0097650A" w:rsidRDefault="00B90490" w:rsidP="0097650A">
      <w:pPr>
        <w:spacing w:after="10" w:line="276" w:lineRule="auto"/>
        <w:rPr>
          <w:rFonts w:asciiTheme="minorHAnsi" w:hAnsiTheme="minorHAnsi" w:cstheme="minorHAnsi"/>
          <w:sz w:val="24"/>
          <w:szCs w:val="24"/>
          <w:u w:val="none"/>
        </w:rPr>
      </w:pPr>
      <w:r w:rsidRPr="0097650A">
        <w:rPr>
          <w:rFonts w:asciiTheme="minorHAnsi" w:hAnsiTheme="minorHAnsi" w:cstheme="minorHAnsi"/>
          <w:sz w:val="24"/>
          <w:szCs w:val="24"/>
          <w:u w:val="none"/>
        </w:rPr>
        <w:t>Konkurs „</w:t>
      </w:r>
      <w:r w:rsidR="00A91FDC" w:rsidRPr="0097650A">
        <w:rPr>
          <w:rFonts w:asciiTheme="minorHAnsi" w:hAnsiTheme="minorHAnsi" w:cstheme="minorHAnsi"/>
          <w:sz w:val="24"/>
          <w:szCs w:val="24"/>
          <w:u w:val="none"/>
        </w:rPr>
        <w:t>Usługi rozwojowe 4.0”</w:t>
      </w:r>
    </w:p>
    <w:tbl>
      <w:tblPr>
        <w:tblStyle w:val="TableGrid"/>
        <w:tblW w:w="14899" w:type="dxa"/>
        <w:tblInd w:w="-559" w:type="dxa"/>
        <w:tblCellMar>
          <w:top w:w="48" w:type="dxa"/>
          <w:right w:w="80" w:type="dxa"/>
        </w:tblCellMar>
        <w:tblLook w:val="04A0" w:firstRow="1" w:lastRow="0" w:firstColumn="1" w:lastColumn="0" w:noHBand="0" w:noVBand="1"/>
      </w:tblPr>
      <w:tblGrid>
        <w:gridCol w:w="852"/>
        <w:gridCol w:w="3142"/>
        <w:gridCol w:w="6208"/>
        <w:gridCol w:w="2437"/>
        <w:gridCol w:w="2260"/>
      </w:tblGrid>
      <w:tr w:rsidR="00EF1534" w:rsidRPr="0097650A" w14:paraId="6A6F5D90" w14:textId="77777777" w:rsidTr="0097650A">
        <w:trPr>
          <w:trHeight w:val="629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FA87C2D" w14:textId="77777777" w:rsidR="00EF1534" w:rsidRPr="0097650A" w:rsidRDefault="00EF1534" w:rsidP="0097650A">
            <w:pPr>
              <w:spacing w:after="0" w:line="276" w:lineRule="auto"/>
              <w:ind w:left="7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Lp.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B0C2FB" w14:textId="77777777" w:rsidR="00EF1534" w:rsidRPr="0097650A" w:rsidRDefault="00EF1534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Towar/Usługa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350D6B" w14:textId="77777777" w:rsidR="00EF1534" w:rsidRPr="0097650A" w:rsidRDefault="00EF1534" w:rsidP="0097650A">
            <w:pPr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Standard – warunki kwalifikowania wydatku na etapie oceny projektów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B50B3D6" w14:textId="77777777" w:rsidR="00EF1534" w:rsidRPr="0097650A" w:rsidRDefault="00EF1534" w:rsidP="0097650A">
            <w:pPr>
              <w:spacing w:after="0" w:line="276" w:lineRule="auto"/>
              <w:ind w:left="2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Maksymalna cena rynkowa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20FFD25" w14:textId="77777777" w:rsidR="00EF1534" w:rsidRPr="0097650A" w:rsidRDefault="00EF1534" w:rsidP="0097650A">
            <w:pPr>
              <w:spacing w:after="0" w:line="276" w:lineRule="auto"/>
              <w:ind w:left="15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sz w:val="24"/>
                <w:szCs w:val="24"/>
                <w:u w:val="none"/>
              </w:rPr>
              <w:t xml:space="preserve">Dodatkowe zalecenia </w:t>
            </w:r>
          </w:p>
        </w:tc>
      </w:tr>
      <w:tr w:rsidR="00EF1534" w:rsidRPr="0097650A" w14:paraId="367AA4F8" w14:textId="77777777" w:rsidTr="006B29C8">
        <w:trPr>
          <w:trHeight w:val="69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5785" w14:textId="77777777" w:rsidR="00EF1534" w:rsidRPr="0097650A" w:rsidRDefault="00EF1534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1.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6CF9" w14:textId="5DB4BF1C" w:rsidR="00EF1534" w:rsidRPr="0097650A" w:rsidRDefault="00EF1534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Przerwa kawowa 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5643" w14:textId="77777777" w:rsidR="00EF1534" w:rsidRPr="0097650A" w:rsidRDefault="00EF1534" w:rsidP="0097650A">
            <w:pPr>
              <w:numPr>
                <w:ilvl w:val="0"/>
                <w:numId w:val="1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  <w:bookmarkStart w:id="1" w:name="_GoBack"/>
            <w:bookmarkEnd w:id="1"/>
          </w:p>
          <w:p w14:paraId="462A1EF5" w14:textId="77777777" w:rsidR="00EF1534" w:rsidRPr="0097650A" w:rsidRDefault="00EF1534" w:rsidP="0097650A">
            <w:pPr>
              <w:numPr>
                <w:ilvl w:val="0"/>
                <w:numId w:val="1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forma wsparcia, w ramach której ma być świadczona przerwa kawowa dla tej samej grupy osób w danym dniu trwa co najmniej 2 godziny lekcyjne; w przypadku, gdy wsparcie dla tej samej grupy osób w danym dniu trwa powyżej 6 godzin lekcyjnych (tj. 6 x 45 minut) istnieje możliwość zapewnienia drugiej przerwy kawowej (nie dotyczy przypadku, gdy przewidziany jest zimny bufet) lub przerwy ciągłej. </w:t>
            </w:r>
          </w:p>
          <w:p w14:paraId="58F275F1" w14:textId="77777777" w:rsidR="00EF1534" w:rsidRPr="0097650A" w:rsidRDefault="00EF1534" w:rsidP="0097650A">
            <w:pPr>
              <w:numPr>
                <w:ilvl w:val="0"/>
                <w:numId w:val="1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obejmuje kawę, herbatę, wodę (w szklanych butelkach lub woda z dystrybutorów wody pitnej serwowana w szklanych dzbankach), mleko, cukier lub jego zamiennik, 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cytrynę, drobne słone lub słodkie przekąski typu paluszki lub kruche ciastka lub owoce, przy czym istnieje możliwość szerszego zakresu usługi, o ile mieści się w określonej standardem cenie rynkowej. </w:t>
            </w:r>
          </w:p>
          <w:p w14:paraId="68A38FB1" w14:textId="77777777" w:rsidR="00EF1534" w:rsidRPr="0097650A" w:rsidRDefault="00EF1534" w:rsidP="0097650A">
            <w:pPr>
              <w:numPr>
                <w:ilvl w:val="0"/>
                <w:numId w:val="1"/>
              </w:numPr>
              <w:spacing w:after="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powinna uwzględniać specjalne potrzeby osób (np. </w:t>
            </w:r>
          </w:p>
          <w:p w14:paraId="65CC5DC7" w14:textId="77777777" w:rsidR="00EF1534" w:rsidRPr="0097650A" w:rsidRDefault="00EF1534" w:rsidP="0097650A">
            <w:pPr>
              <w:spacing w:after="5" w:line="276" w:lineRule="auto"/>
              <w:ind w:left="39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wegetariańskie, bezglutenowe). </w:t>
            </w:r>
          </w:p>
          <w:p w14:paraId="7F1F782B" w14:textId="0F9AEC43" w:rsidR="00EF1534" w:rsidRPr="0097650A" w:rsidRDefault="00EF1534" w:rsidP="0097650A">
            <w:pPr>
              <w:numPr>
                <w:ilvl w:val="0"/>
                <w:numId w:val="1"/>
              </w:numPr>
              <w:spacing w:after="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biodegradowalnych.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6A1" w14:textId="77777777" w:rsidR="00A91FDC" w:rsidRPr="0097650A" w:rsidRDefault="00A91FDC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</w:p>
          <w:p w14:paraId="7FA55BD2" w14:textId="05C0797C" w:rsidR="00A91FDC" w:rsidRPr="0097650A" w:rsidRDefault="00EF1534" w:rsidP="0097650A">
            <w:pPr>
              <w:spacing w:after="480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Jednorazowa – 33 zł</w:t>
            </w:r>
          </w:p>
          <w:p w14:paraId="1D3D9177" w14:textId="29DF895C" w:rsidR="00EF1534" w:rsidRPr="0097650A" w:rsidRDefault="00EF1534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Ciągła – 55 zł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879F" w14:textId="3734A360" w:rsidR="00EF1534" w:rsidRPr="0097650A" w:rsidRDefault="00EF1534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EF1534" w:rsidRPr="0097650A" w14:paraId="5FE62737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9F81" w14:textId="77777777" w:rsidR="00EF1534" w:rsidRPr="0097650A" w:rsidRDefault="00EF1534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2.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D070" w14:textId="439246D9" w:rsidR="00EF1534" w:rsidRPr="0097650A" w:rsidRDefault="00EF1534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Lunch / obiad / kolacja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117C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</w:p>
          <w:p w14:paraId="026E8FC0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obejmuje dwa dania (zupa i drugie danie) oraz napój (w szklanych butelkach lub woda z dystrybutora wody pitnej w szklanych dzbankach), przy czym istnieje możliwość szerszego zakresu usługi, o ile mieści się w określonej standardem cenie rynkowej.  </w:t>
            </w:r>
          </w:p>
          <w:p w14:paraId="668D7A16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kwalifikowalny jest posiłek specjalny (np. bezglutenowy, bez laktozy, koszerny), w szczególności jeśli zgłoszone zostały specjalne potrzeby uczestników projektu. </w:t>
            </w:r>
          </w:p>
          <w:p w14:paraId="5C9186D1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10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biodegradowalnych. </w:t>
            </w:r>
          </w:p>
          <w:p w14:paraId="55EDF530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 przypadku lunchu/obiadu wydatek kwalifikowalny, o ile wsparcie dla tej samej grupy osób w danym dniu trwa co najmniej 6 godzin lekcyjnych (tj. 6 x 45 minut). </w:t>
            </w:r>
          </w:p>
          <w:p w14:paraId="24E4168B" w14:textId="77777777" w:rsidR="00EF1534" w:rsidRPr="0097650A" w:rsidRDefault="00EF1534" w:rsidP="0097650A">
            <w:pPr>
              <w:numPr>
                <w:ilvl w:val="0"/>
                <w:numId w:val="2"/>
              </w:numPr>
              <w:spacing w:after="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 przypadku kolacji wydatek kwalifikowalny, o ile finansowana jest równocześnie usługa noclegowa.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FBF" w14:textId="77777777" w:rsidR="00EF1534" w:rsidRPr="0097650A" w:rsidRDefault="00EF1534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60 zł </w:t>
            </w:r>
          </w:p>
          <w:p w14:paraId="399A46A4" w14:textId="77777777" w:rsidR="00EF1534" w:rsidRPr="0097650A" w:rsidRDefault="00EF1534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CC3" w14:textId="25FFFA6D" w:rsidR="00EF1534" w:rsidRPr="0097650A" w:rsidRDefault="00EF1534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39E6FD27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92D2" w14:textId="41E1E1FA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3.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547D" w14:textId="07C249B5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Zimny bufet 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BCD8" w14:textId="77777777" w:rsidR="006B29C8" w:rsidRPr="0097650A" w:rsidRDefault="006B29C8" w:rsidP="0097650A">
            <w:pPr>
              <w:numPr>
                <w:ilvl w:val="0"/>
                <w:numId w:val="3"/>
              </w:numPr>
              <w:spacing w:after="10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</w:p>
          <w:p w14:paraId="7FB49995" w14:textId="77777777" w:rsidR="006B29C8" w:rsidRPr="0097650A" w:rsidRDefault="006B29C8" w:rsidP="0097650A">
            <w:pPr>
              <w:numPr>
                <w:ilvl w:val="0"/>
                <w:numId w:val="3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forma wsparcia, w ramach której ma być świadczony zimny bufet dla tej samej grupy osób w danym dniu trwa co najmniej 4 godziny lekcyjne (tj. 4 x 45 minut) i nie jest przewidziany lunch/obiad/przerwa kawowa.  </w:t>
            </w:r>
          </w:p>
          <w:p w14:paraId="4E74F7A4" w14:textId="77777777" w:rsidR="006B29C8" w:rsidRPr="0097650A" w:rsidRDefault="006B29C8" w:rsidP="0097650A">
            <w:pPr>
              <w:numPr>
                <w:ilvl w:val="0"/>
                <w:numId w:val="3"/>
              </w:numPr>
              <w:spacing w:after="13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obejmuje kawę, herbatę, napój (w szklanych butelkach lub woda z dystrybutorów wody pitnej w szklanych dzbankach), mleko, cukier, cytryna,  drobne słone lub słodkie przekąski typu paluszki lub kruche ciastka lub owoce, kanapki, przekąski koktajlowe, przy czym istnieje możliwość szerszego zakresu usługi, o ile mieści się w określonej standardem cenie rynkowej.  </w:t>
            </w:r>
          </w:p>
          <w:p w14:paraId="784D3AFF" w14:textId="77777777" w:rsidR="006B29C8" w:rsidRPr="0097650A" w:rsidRDefault="006B29C8" w:rsidP="0097650A">
            <w:pPr>
              <w:numPr>
                <w:ilvl w:val="0"/>
                <w:numId w:val="3"/>
              </w:numPr>
              <w:spacing w:after="0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powinien uwzględniać specjalne potrzeby osób (np. </w:t>
            </w:r>
          </w:p>
          <w:p w14:paraId="45DD4278" w14:textId="77777777" w:rsidR="006B29C8" w:rsidRPr="0097650A" w:rsidRDefault="006B29C8" w:rsidP="0097650A">
            <w:pPr>
              <w:spacing w:after="5" w:line="276" w:lineRule="auto"/>
              <w:ind w:left="398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wegetariańskie, bezglutenowe). </w:t>
            </w:r>
          </w:p>
          <w:p w14:paraId="1071FCDB" w14:textId="544BDCEB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jedzenie i napoje serwowane są w naczyniach wielorazowego użytku, do ponownego wykorzystania, np. szklanych lub ceramicznych; nie jest dozwolone używanie plastikowych naczyń lub sztućców; w przypadku wydarzeń w plenerze istnieje możliwość wykorzystania naczyń biodegradowalnych.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0EEF" w14:textId="7D670FB7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53 zł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DB90" w14:textId="35134AF9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0C004915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2B27" w14:textId="23A92E3C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4.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241" w14:textId="3E4C14AF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Nocleg w kraju</w:t>
            </w: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  <w:vertAlign w:val="superscript"/>
              </w:rPr>
              <w:footnoteReference w:id="1"/>
            </w: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1A11" w14:textId="77777777" w:rsidR="006B29C8" w:rsidRPr="0097650A" w:rsidRDefault="006B29C8" w:rsidP="0097650A">
            <w:pPr>
              <w:numPr>
                <w:ilvl w:val="0"/>
                <w:numId w:val="4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</w:p>
          <w:p w14:paraId="7E6FB3AC" w14:textId="77777777" w:rsidR="006B29C8" w:rsidRPr="0097650A" w:rsidRDefault="006B29C8" w:rsidP="0097650A">
            <w:pPr>
              <w:numPr>
                <w:ilvl w:val="0"/>
                <w:numId w:val="4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możliwość zagwarantowania noclegu dotyczy uczestników, którzy posiadają miejsce zamieszkania w miejscowości innej niż ta miejscowość, w której odbywa się wsparcie. </w:t>
            </w:r>
          </w:p>
          <w:p w14:paraId="1E4CC1DA" w14:textId="77777777" w:rsidR="006B29C8" w:rsidRPr="0097650A" w:rsidRDefault="006B29C8" w:rsidP="0097650A">
            <w:pPr>
              <w:numPr>
                <w:ilvl w:val="0"/>
                <w:numId w:val="4"/>
              </w:numPr>
              <w:spacing w:after="13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wsparcie (np. szkolenie, spotkanie) dla tej samej grupy osób trwa co najmniej 2 dni, z zastrzeżeniem że w przypadku wsparcia trwającego nie dłużej niż jeden dzień wydatek kwalifikowalny w sytuacji, gdy miejsce prowadzenia wsparcia jest oddalone od miejsca zamieszkania osoby w niej uczestniczącej o więcej niż 50 km (droga publiczną, a nie w linii prostej), a jednocześnie wsparcie zaczyna się przed godziną 9.00 lub kończy się po godzinie 17.00, chyba że nie ma dostępnego dojazdu publicznymi środkami transportu. </w:t>
            </w:r>
          </w:p>
          <w:p w14:paraId="01B57F1F" w14:textId="77777777" w:rsidR="006B29C8" w:rsidRPr="0097650A" w:rsidRDefault="006B29C8" w:rsidP="0097650A">
            <w:pPr>
              <w:numPr>
                <w:ilvl w:val="0"/>
                <w:numId w:val="4"/>
              </w:numPr>
              <w:spacing w:after="13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obejmuje nocleg w miejscu noclegowym o standardzie hotelu maksymalnie 3* wraz ze śniadaniem, przy czym istnieje możliwość szerszego zakresu usługi, o ile mieści się w określonej standardem cenie rynkowej i jest to uzasadnione celami projektu. </w:t>
            </w:r>
          </w:p>
          <w:p w14:paraId="4881DC19" w14:textId="2ADA8135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obejmuje nocleg, co do zasady w pokojach 2-osobowych (nocleg w pokojach 1-osobowych jest kwalifikowalny tylko w uzasadnionych przypadkach).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85AC" w14:textId="1B9BA9E5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290 zł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E21D" w14:textId="3DD1864A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Zaleca się zachowanie 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zgodności z zasadą zrównoważonego rozwoju poprzez kwaterowanie uczestników projektu w miejscu, gdzie dojazd możliwy jest za pomocą publicznego środka transportu, możliwie jak najbliżej miejsca wsparcia.  </w:t>
            </w:r>
          </w:p>
        </w:tc>
      </w:tr>
      <w:tr w:rsidR="006B29C8" w:rsidRPr="0097650A" w14:paraId="24E262A9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7342" w14:textId="01147F7C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5.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86EB" w14:textId="670823A3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Zwrot kosztów dojazdu uczestników projektu</w:t>
            </w:r>
            <w:r w:rsidRPr="0097650A">
              <w:rPr>
                <w:rStyle w:val="Odwoanieprzypisudolnego"/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footnoteReference w:customMarkFollows="1" w:id="2"/>
              <w:t>2</w:t>
            </w: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B3BD" w14:textId="77777777" w:rsidR="006B29C8" w:rsidRPr="0097650A" w:rsidRDefault="006B29C8" w:rsidP="0097650A">
            <w:pPr>
              <w:numPr>
                <w:ilvl w:val="0"/>
                <w:numId w:val="5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 w związku z uzasadnionymi potrzebami grupy docelowej (np. koszty dojazdów dla osób niepełnosprawnych, bezrobotnych). </w:t>
            </w:r>
          </w:p>
          <w:p w14:paraId="2AF693FA" w14:textId="146E403D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 lub tam gdzie zamiast skorzystania z transportu szynowego lub kołowego uzasadnione jest skorzystanie z transportu lotniczego, jako refundacja wydatku faktycznie poniesionego do ww. wysokości.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B6E9" w14:textId="64A3312F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Cena uzależniona od rodzaju środka transportu i odległości.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15C" w14:textId="63A2CDC9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 celu zachowania zgodności z zasadą zrównoważonego rozwoju rekomenduje się wykorzystywanie transportu szynowego, o ile na danej trasie jest dostępny, a korzystanie z niego nie wymusza ponoszenia dodatkowych kosztów związanych, np. z dodatkowym noclegiem.</w:t>
            </w:r>
          </w:p>
        </w:tc>
      </w:tr>
      <w:tr w:rsidR="006B29C8" w:rsidRPr="0097650A" w14:paraId="25E21A14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3BA" w14:textId="0CBE6B30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6.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252F" w14:textId="77AA9AF8" w:rsidR="00644234" w:rsidRPr="0097650A" w:rsidRDefault="006B29C8" w:rsidP="0097650A">
            <w:pPr>
              <w:spacing w:after="0" w:line="276" w:lineRule="auto"/>
              <w:ind w:left="127" w:right="80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Spotkanie informacyjne/szkolenia obejmujące</w:t>
            </w:r>
          </w:p>
          <w:p w14:paraId="76EABD46" w14:textId="77777777" w:rsidR="00644234" w:rsidRPr="0097650A" w:rsidRDefault="006B29C8" w:rsidP="0097650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27" w:right="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wynajem sali konferencyjnej/szkoleniowej</w:t>
            </w:r>
          </w:p>
          <w:p w14:paraId="7AAC5D70" w14:textId="52ED5BE2" w:rsidR="006B29C8" w:rsidRPr="0097650A" w:rsidRDefault="006B29C8" w:rsidP="0097650A">
            <w:pPr>
              <w:pStyle w:val="Akapitzlist"/>
              <w:numPr>
                <w:ilvl w:val="0"/>
                <w:numId w:val="2"/>
              </w:numPr>
              <w:spacing w:after="0" w:line="276" w:lineRule="auto"/>
              <w:ind w:left="127" w:right="8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wyposażenie techniczne sali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DBBD" w14:textId="77777777" w:rsidR="006B29C8" w:rsidRPr="0097650A" w:rsidRDefault="006B29C8" w:rsidP="0097650A">
            <w:pPr>
              <w:numPr>
                <w:ilvl w:val="0"/>
                <w:numId w:val="6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</w:p>
          <w:p w14:paraId="41899017" w14:textId="0566961D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 przypadku wynajmu </w:t>
            </w:r>
            <w:proofErr w:type="spellStart"/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sal</w:t>
            </w:r>
            <w:proofErr w:type="spellEnd"/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należy przestrzegać wymogów związanych z dostępnością ujętych w standardzie architektonicznym, szkoleniowym stanowiących zał. nr 2 do Wytycznych.  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ACAD" w14:textId="4B998FB5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Cena uzależniona od liczby osób, rodzaju spotkania i zakresu wsparcia.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5F62" w14:textId="6762DCDC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464CFC01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B99" w14:textId="5291ED25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7.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D90C" w14:textId="4741ED9C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Zakup materiałów dla uczestników szkolenia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C66A" w14:textId="77777777" w:rsidR="006B29C8" w:rsidRPr="0097650A" w:rsidRDefault="006B29C8" w:rsidP="0097650A">
            <w:pPr>
              <w:numPr>
                <w:ilvl w:val="0"/>
                <w:numId w:val="7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jest to uzasadnione specyfiką realizowanego projektu. </w:t>
            </w:r>
          </w:p>
          <w:p w14:paraId="6C158C39" w14:textId="77777777" w:rsidR="006B29C8" w:rsidRPr="0097650A" w:rsidRDefault="006B29C8" w:rsidP="0097650A">
            <w:pPr>
              <w:numPr>
                <w:ilvl w:val="0"/>
                <w:numId w:val="7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przewidziane są w ramach realizowanego projektu szkolenia/warsztaty/ doradztwo. </w:t>
            </w:r>
          </w:p>
          <w:p w14:paraId="11B15DFF" w14:textId="77777777" w:rsidR="006B29C8" w:rsidRPr="0097650A" w:rsidRDefault="006B29C8" w:rsidP="0097650A">
            <w:pPr>
              <w:numPr>
                <w:ilvl w:val="0"/>
                <w:numId w:val="7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 przypadku przygotowania materiałów w formie cyfrowej należy zapewnić ich dostępność zgodnie ze standardem info-</w:t>
            </w:r>
            <w:proofErr w:type="spellStart"/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promo</w:t>
            </w:r>
            <w:proofErr w:type="spellEnd"/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, szkoleniowym, stanowiących zał. nr 2 Wytycznych.   </w:t>
            </w:r>
          </w:p>
          <w:p w14:paraId="186E919B" w14:textId="5C6FB9B4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co do zasady nie są kwalifikowalne tzw. gadżety o charakterze promocyjnym.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9EAE" w14:textId="453425D4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Cena uzależniona od rodzaju wsparcia w projekcie 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FE05" w14:textId="77777777" w:rsidR="006B29C8" w:rsidRPr="0097650A" w:rsidRDefault="006B29C8" w:rsidP="0097650A">
            <w:pPr>
              <w:spacing w:after="44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Zaleca się: </w:t>
            </w:r>
          </w:p>
          <w:p w14:paraId="0BBB8202" w14:textId="77777777" w:rsidR="005E6DF6" w:rsidRPr="0097650A" w:rsidRDefault="006B29C8" w:rsidP="0097650A">
            <w:pPr>
              <w:pStyle w:val="Akapitzlist"/>
              <w:numPr>
                <w:ilvl w:val="0"/>
                <w:numId w:val="2"/>
              </w:numPr>
              <w:spacing w:after="13" w:line="276" w:lineRule="auto"/>
              <w:ind w:lef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zachowanie zgodności z zasadą zrównoważonego rozwoju poprzez ograniczenie przekazywania materiałów w wersji papierowej na rzecz materiałów udostępnianych w formie elektronicznej. </w:t>
            </w:r>
          </w:p>
          <w:p w14:paraId="4BD85BF7" w14:textId="02877178" w:rsidR="006B29C8" w:rsidRPr="0097650A" w:rsidRDefault="005E6DF6" w:rsidP="0097650A">
            <w:pPr>
              <w:pStyle w:val="Akapitzlist"/>
              <w:numPr>
                <w:ilvl w:val="0"/>
                <w:numId w:val="2"/>
              </w:numPr>
              <w:spacing w:after="13" w:line="276" w:lineRule="auto"/>
              <w:ind w:lef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>w</w:t>
            </w:r>
            <w:r w:rsidR="006B29C8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przypadku konieczności przygotowania materiałów dla uczestników zaleca się stosowanie papieru z recyklingu oraz innych produktów wyprodukowanych z materiałów biodegradowalnych.</w:t>
            </w:r>
          </w:p>
        </w:tc>
      </w:tr>
      <w:tr w:rsidR="006B29C8" w:rsidRPr="0097650A" w14:paraId="617413B3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6252" w14:textId="1753BDF3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8.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98A" w14:textId="5E8FA1E0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Nabycie komputera (zestaw: stacja, monitor, klawiatura, mysz, słuchawki, głośniki)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5A2" w14:textId="77777777" w:rsidR="006B29C8" w:rsidRPr="0097650A" w:rsidRDefault="006B29C8" w:rsidP="0097650A">
            <w:pPr>
              <w:numPr>
                <w:ilvl w:val="0"/>
                <w:numId w:val="8"/>
              </w:numPr>
              <w:spacing w:after="10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nabycie komputera jest niezbędne w celu wspomagania procesu wdrażania projektu (udzielania wsparcia uczestnikom projektu), nie do obsługi projektu (co jest finansowane w ramach stawki ryczałtowej kosztów pośrednich). </w:t>
            </w:r>
          </w:p>
          <w:p w14:paraId="24CA1D29" w14:textId="77777777" w:rsidR="006B29C8" w:rsidRPr="0097650A" w:rsidRDefault="006B29C8" w:rsidP="0097650A">
            <w:pPr>
              <w:numPr>
                <w:ilvl w:val="0"/>
                <w:numId w:val="8"/>
              </w:numPr>
              <w:spacing w:after="12" w:line="276" w:lineRule="auto"/>
              <w:ind w:hanging="283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 w przypadku, gdy wnioskodawca nie posiada wystarczającego zaplecza technicznego do udzielania wsparcia uczestnikom projektu.  </w:t>
            </w:r>
          </w:p>
          <w:p w14:paraId="1389A69A" w14:textId="78CD6843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wydatek kwalifikowalny, o ile komputer posiada parametry biurowe z oprogramowaniem systemowym i podstawowym pakietem biurowym (licencja na 12 miesięcy).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11FA" w14:textId="7B25BF48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2660 zł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67DC" w14:textId="540E6056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1948D2AD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12A6" w14:textId="0B01ECEE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9.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2C8B" w14:textId="1A698E95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Nabycie laptopa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D383" w14:textId="77777777" w:rsidR="006B29C8" w:rsidRPr="0097650A" w:rsidRDefault="006B29C8" w:rsidP="0097650A">
            <w:pPr>
              <w:numPr>
                <w:ilvl w:val="0"/>
                <w:numId w:val="9"/>
              </w:numPr>
              <w:spacing w:after="13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pośrednich). </w:t>
            </w:r>
          </w:p>
          <w:p w14:paraId="5BA33190" w14:textId="77777777" w:rsidR="006B29C8" w:rsidRPr="0097650A" w:rsidRDefault="006B29C8" w:rsidP="0097650A">
            <w:pPr>
              <w:numPr>
                <w:ilvl w:val="0"/>
                <w:numId w:val="9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 w przypadku, gdy wnioskodawca nie posiada wystarczającego zaplecza technicznego do udzielania wsparcia uczestnikom projektu.  </w:t>
            </w:r>
          </w:p>
          <w:p w14:paraId="615899D9" w14:textId="1EB14D83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laptop posiada parametry biurowe. 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135E" w14:textId="12F75928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3080 zł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C874" w14:textId="13C3333A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026C046C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1D7" w14:textId="23079D0B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10.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06DA" w14:textId="5A0F5CD7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Nabycie projektora multimedialnego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6430" w14:textId="77777777" w:rsidR="006B29C8" w:rsidRPr="0097650A" w:rsidRDefault="006B29C8" w:rsidP="0097650A">
            <w:pPr>
              <w:numPr>
                <w:ilvl w:val="0"/>
                <w:numId w:val="10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nabycie projektora multimedialnego jest niezbędne w celu wspomagania procesu wdrażania projektu (udzielania wsparcia uczestnikom projektu), nie do obsługi projektu (co jest finansowane w ramach stawki ryczałtowej kosztów pośrednich). </w:t>
            </w:r>
          </w:p>
          <w:p w14:paraId="0A9AB98F" w14:textId="455064F9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wydatek kwalifikowalny w przypadku, gdy wnioskodawca nie posiada wystarczającego zaplecza technicznego do udzielania wsparcia uczestnikom projektu.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6B0" w14:textId="383E6EA3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3260 zł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C06E" w14:textId="3B2125BF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4259BFE2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D205" w14:textId="515B5F65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11.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F14B" w14:textId="12B8E3FF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Nabycie ekranu projekcyjnego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2AA0" w14:textId="77777777" w:rsidR="006B29C8" w:rsidRPr="0097650A" w:rsidRDefault="006B29C8" w:rsidP="0097650A">
            <w:pPr>
              <w:numPr>
                <w:ilvl w:val="0"/>
                <w:numId w:val="11"/>
              </w:numPr>
              <w:spacing w:after="12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stawki ryczałtowej kosztów pośrednich). </w:t>
            </w:r>
          </w:p>
          <w:p w14:paraId="6EE09E2A" w14:textId="5C2211EB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wydatek kwalifikowalny w przypadku, gdy wnioskodawca nie posiada wystarczającego zaplecza technicznego do udzielania wsparcia uczestnikom projektu.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9BE2" w14:textId="6717A668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 xml:space="preserve">850 zł 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F2DD" w14:textId="0C9AEA92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1F427AA2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6DB" w14:textId="4B72FD63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12.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C80B" w14:textId="156F9DD4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Usługa rekrutacji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BB15" w14:textId="77777777" w:rsidR="00FC6CBB" w:rsidRPr="0097650A" w:rsidRDefault="006B29C8" w:rsidP="0097650A">
            <w:pPr>
              <w:spacing w:after="10" w:line="276" w:lineRule="auto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Rekrutacja rozumiana jest jako</w:t>
            </w:r>
            <w:r w:rsidR="00FC6CBB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:</w:t>
            </w:r>
          </w:p>
          <w:p w14:paraId="6411DCE6" w14:textId="76D932AF" w:rsidR="00D84068" w:rsidRPr="0097650A" w:rsidRDefault="006B29C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aktywne działania merytoryczne niezbędne do</w:t>
            </w:r>
            <w:r w:rsidR="00D84068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pozyskania </w:t>
            </w:r>
            <w:r w:rsidR="00D84068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odbiorców wsparcia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, </w:t>
            </w:r>
          </w:p>
          <w:p w14:paraId="65E6D00B" w14:textId="461DBA47" w:rsidR="00D84068" w:rsidRPr="0097650A" w:rsidRDefault="00D8406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merytoryczna ocena składanych przez potencjalnych Odbiorców wsparcia dokumentów rekrutacyjnych, w tym: formularzy składanych przy ubieganiu się przez podmiot o pomoc de minimis, oświadczeń/zaświadczeń o otrzymanej pomocy de minimis w okresie 2 poprzednich lat oraz bieżącego roku (weryfikowanych w oparciu o </w:t>
            </w:r>
            <w:r w:rsidR="009C3A15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SUDOP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),</w:t>
            </w:r>
          </w:p>
          <w:p w14:paraId="3FBDCE0E" w14:textId="77777777" w:rsidR="00D84068" w:rsidRPr="0097650A" w:rsidRDefault="00D8406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>weryfikacja podmiotu pod kątem kwalifikowalności, w szczególności czy podmiot posiada wpis do BUR uprawniający do publikowania usług z możliwością ich dofinansowania ze środków publicznych,</w:t>
            </w:r>
          </w:p>
          <w:p w14:paraId="4FC4B3B8" w14:textId="77777777" w:rsidR="00D84068" w:rsidRPr="0097650A" w:rsidRDefault="00D8406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weryfikacja istnienia okoliczności i podstaw do wykluczenia z możliwości otrzymania środków Unii Europejskiej na podstawie prawodawstwa unijnego i krajowego wprowadzającego sankcje wobec podmiotów i osób, które w bezpośredni lub pośredni sposób wspierają działania wojenne Federacji Rosyjskiej lub są za nie odpowiedzialne. W celu przeprowadzenia takiej weryfikacji konieczne jest ustalenie czy odbiorca wsparcia nie figuruje na stosownych listach, zarówno unijnych, jak i krajowych oraz czy nie jest powiązany z osobami lub podmiotami, które figurują na listach sankcyjnych,</w:t>
            </w:r>
          </w:p>
          <w:p w14:paraId="18F1AE99" w14:textId="1515B806" w:rsidR="00D84068" w:rsidRPr="0097650A" w:rsidRDefault="00D8406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weryfikacja powiązań kapitałowo-osobowych w kontekście sprawdzenia warunku mówiącego, że Dostawca licencji (dalej: Dostawca), ani Wykonawca usług szkoleniowych lub doradczych (dalej: Wykonawca) nie może być powiązany z odbiorcą wsparcia i Beneficjentem kapitałowo lub osobowo (bezpośrednio lub za pośrednictwem innych podmiotów), </w:t>
            </w:r>
          </w:p>
          <w:p w14:paraId="6CED2AD4" w14:textId="63F5C1C4" w:rsidR="00D84068" w:rsidRPr="0097650A" w:rsidRDefault="00D84068" w:rsidP="0097650A">
            <w:pPr>
              <w:pStyle w:val="Akapitzlist"/>
              <w:numPr>
                <w:ilvl w:val="0"/>
                <w:numId w:val="2"/>
              </w:numPr>
              <w:spacing w:after="10" w:line="276" w:lineRule="auto"/>
              <w:ind w:left="252" w:hanging="252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>sprawdzenie (na podstawie listy odbiorców wsparcia  oraz listy Dostawców i Wykonawców udostępnionej przez PARP) czy odbiorca wsparcia nie występuje w roli Dostawcy ani Wykonawcy dla pozostałych odbiorców wsparcia w ramach całego naboru oraz czy planowany Dostawca/ Wykonawca nie jest odbiorcą wsparcia (w ramach całego naboru).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093D" w14:textId="7263534A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lastRenderedPageBreak/>
              <w:t xml:space="preserve">… PLN/pomiot zarejestrowany w BUR 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(kwoty zostaną uzupełnione po zakończonym procesie szacowania)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5DAD" w14:textId="3409EAFE" w:rsidR="006B29C8" w:rsidRPr="0097650A" w:rsidRDefault="0062623A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–</w:t>
            </w:r>
          </w:p>
        </w:tc>
      </w:tr>
      <w:tr w:rsidR="006B29C8" w:rsidRPr="0097650A" w14:paraId="00E32706" w14:textId="77777777" w:rsidTr="006B29C8">
        <w:trPr>
          <w:trHeight w:val="60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8F1E" w14:textId="677F2535" w:rsidR="006B29C8" w:rsidRPr="0097650A" w:rsidRDefault="006B29C8" w:rsidP="0097650A">
            <w:pPr>
              <w:spacing w:after="0" w:line="276" w:lineRule="auto"/>
              <w:ind w:left="46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>13.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4E97" w14:textId="13C34EAE" w:rsidR="006B29C8" w:rsidRPr="0097650A" w:rsidRDefault="006B29C8" w:rsidP="0097650A">
            <w:pPr>
              <w:spacing w:after="0" w:line="276" w:lineRule="auto"/>
              <w:ind w:left="7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b/>
                <w:bCs/>
                <w:sz w:val="24"/>
                <w:szCs w:val="24"/>
                <w:u w:val="none"/>
              </w:rPr>
              <w:t>Usługa oceny wniosku o udzielenie wsparcia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EF5E" w14:textId="4CD94FCC" w:rsidR="00FC6CBB" w:rsidRPr="0097650A" w:rsidRDefault="0062623A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Pod pojęciem oceny wniosku o udzielenie wsparcia należy rozumieć merytoryczną analizę informacji znajdujących się we wniosku o udzielenie wsparcia, którego</w:t>
            </w:r>
            <w:r w:rsidR="00AF3A2F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minimalny zakres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znajduje się w załączniku nr 10 do Regulaminu wyboru projektów (dalej: RWP).</w:t>
            </w:r>
          </w:p>
          <w:p w14:paraId="7BA47655" w14:textId="77777777" w:rsidR="0049432D" w:rsidRPr="0097650A" w:rsidRDefault="0062623A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Ocena wniosku o udzielenie wsparcia obejmuje sprawdzenie czy</w:t>
            </w:r>
            <w:r w:rsidR="0049432D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:</w:t>
            </w:r>
          </w:p>
          <w:p w14:paraId="73C63422" w14:textId="55E40CEF" w:rsidR="0062623A" w:rsidRPr="0097650A" w:rsidRDefault="0062623A" w:rsidP="0097650A">
            <w:pPr>
              <w:pStyle w:val="Akapitzlist"/>
              <w:numPr>
                <w:ilvl w:val="0"/>
                <w:numId w:val="22"/>
              </w:numPr>
              <w:spacing w:after="10" w:line="276" w:lineRule="auto"/>
              <w:ind w:left="819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są spełnione wymogi przewidziane w konkursie dla licencji oraz usług szkoleniowych/doradczych, których koszty zakupu są przedmiotem refundacji przez Beneficjenta</w:t>
            </w:r>
            <w:r w:rsidR="0049432D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,</w:t>
            </w:r>
          </w:p>
          <w:p w14:paraId="28D108FD" w14:textId="37FFCFEC" w:rsidR="0049432D" w:rsidRPr="0097650A" w:rsidRDefault="0049432D" w:rsidP="0097650A">
            <w:pPr>
              <w:pStyle w:val="Akapitzlist"/>
              <w:numPr>
                <w:ilvl w:val="0"/>
                <w:numId w:val="22"/>
              </w:numPr>
              <w:spacing w:after="10" w:line="276" w:lineRule="auto"/>
              <w:ind w:left="819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odbiorca wsparcia dokonał rozeznania rynku </w:t>
            </w:r>
            <w:r w:rsidR="00041E66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i ustalił kwoty wydatków 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 sposób przejrzysty, racjonalny i efektywny, z zachowaniem zasad uzyskiwania najlepszych efektów z danych nakładów.</w:t>
            </w:r>
          </w:p>
          <w:p w14:paraId="20B24D76" w14:textId="77777777" w:rsidR="0049432D" w:rsidRPr="0097650A" w:rsidRDefault="0049432D" w:rsidP="0097650A">
            <w:pPr>
              <w:pStyle w:val="Akapitzlist"/>
              <w:numPr>
                <w:ilvl w:val="0"/>
                <w:numId w:val="23"/>
              </w:numPr>
              <w:spacing w:after="10" w:line="276" w:lineRule="auto"/>
              <w:ind w:left="394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 xml:space="preserve">Poprzez ocenę sposobu rozeznania rynku rozumie się: </w:t>
            </w:r>
          </w:p>
          <w:p w14:paraId="6A4B56FA" w14:textId="77777777" w:rsidR="0049432D" w:rsidRPr="0097650A" w:rsidRDefault="0049432D" w:rsidP="0097650A">
            <w:pPr>
              <w:pStyle w:val="Akapitzlist"/>
              <w:numPr>
                <w:ilvl w:val="0"/>
                <w:numId w:val="24"/>
              </w:numPr>
              <w:spacing w:after="10" w:line="276" w:lineRule="auto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weryfikację czy Odbiorca wsparcia podał we wniosku wymagane informacje (etap oceny wniosku o udzielenie wsparcia),</w:t>
            </w:r>
          </w:p>
          <w:p w14:paraId="7198F779" w14:textId="77777777" w:rsidR="0049432D" w:rsidRPr="0097650A" w:rsidRDefault="0049432D" w:rsidP="0097650A">
            <w:pPr>
              <w:pStyle w:val="Akapitzlist"/>
              <w:numPr>
                <w:ilvl w:val="0"/>
                <w:numId w:val="24"/>
              </w:numPr>
              <w:spacing w:after="10" w:line="276" w:lineRule="auto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weryfikację dokumentów potwierdzających informacje podane we wniosku dotyczące rozeznania rynku (ocena dokonywana przez podpisaniem umowy o udzielenie wsparcia – jeśli odbiorca wsparcia spełni warunki wymagane do jej podpisania);</w:t>
            </w:r>
          </w:p>
          <w:p w14:paraId="6C059B38" w14:textId="49E1AC3A" w:rsidR="0049432D" w:rsidRPr="0097650A" w:rsidRDefault="0049432D" w:rsidP="0097650A">
            <w:pPr>
              <w:pStyle w:val="Akapitzlist"/>
              <w:numPr>
                <w:ilvl w:val="0"/>
                <w:numId w:val="24"/>
              </w:numPr>
              <w:spacing w:after="10" w:line="276" w:lineRule="auto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weryfikację czy koszty przedkładane do refundacji zostały rzeczywiście poniesione zgodnie z opisanym we wniosku rozeznaniem rynku i przedłożonymi dokumentami (ocena dokonywana na etapie refundacji kosztu przez beneficjenta – jeśli z odbiorcą wsparcia zostanie podpisana umowa o udzielenie wsparcia).</w:t>
            </w:r>
          </w:p>
          <w:p w14:paraId="3ECB9E6B" w14:textId="3C9B8E87" w:rsidR="006B29C8" w:rsidRPr="0097650A" w:rsidRDefault="006B29C8" w:rsidP="0097650A">
            <w:pPr>
              <w:numPr>
                <w:ilvl w:val="0"/>
                <w:numId w:val="2"/>
              </w:numPr>
              <w:spacing w:after="10" w:line="276" w:lineRule="auto"/>
              <w:ind w:hanging="290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Ocena dokonywana przez osobę spełniającą wymagania określone w</w:t>
            </w:r>
            <w:r w:rsidR="0062623A"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 xml:space="preserve"> załączniku nr 9 do RWP</w:t>
            </w: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E40C" w14:textId="77777777" w:rsidR="006B29C8" w:rsidRPr="0097650A" w:rsidRDefault="006B29C8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lastRenderedPageBreak/>
              <w:t>… PLN/ wniosek o udzielenie wsparcia</w:t>
            </w:r>
          </w:p>
          <w:p w14:paraId="2489451E" w14:textId="0AAF2C46" w:rsidR="00A01661" w:rsidRPr="0097650A" w:rsidRDefault="00A01661" w:rsidP="0097650A">
            <w:pPr>
              <w:spacing w:after="33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  <w:r w:rsidRPr="0097650A">
              <w:rPr>
                <w:rFonts w:asciiTheme="minorHAnsi" w:hAnsiTheme="minorHAnsi" w:cstheme="minorHAnsi"/>
                <w:sz w:val="24"/>
                <w:szCs w:val="24"/>
                <w:u w:val="none"/>
              </w:rPr>
              <w:t>(kwoty zostaną uzupełnione po zakończonym procesie szacowania)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45FF" w14:textId="77777777" w:rsidR="006B29C8" w:rsidRPr="0097650A" w:rsidRDefault="006B29C8" w:rsidP="0097650A">
            <w:pPr>
              <w:spacing w:after="0" w:line="276" w:lineRule="auto"/>
              <w:ind w:left="108"/>
              <w:rPr>
                <w:rFonts w:asciiTheme="minorHAnsi" w:hAnsiTheme="minorHAnsi" w:cstheme="minorHAnsi"/>
                <w:sz w:val="24"/>
                <w:szCs w:val="24"/>
                <w:u w:val="none"/>
              </w:rPr>
            </w:pPr>
          </w:p>
        </w:tc>
      </w:tr>
      <w:bookmarkEnd w:id="0"/>
    </w:tbl>
    <w:p w14:paraId="689DF71E" w14:textId="103B6796" w:rsidR="001C6DC4" w:rsidRPr="0097650A" w:rsidRDefault="001C6DC4" w:rsidP="0097650A">
      <w:pPr>
        <w:tabs>
          <w:tab w:val="left" w:pos="9330"/>
        </w:tabs>
        <w:spacing w:line="276" w:lineRule="auto"/>
        <w:rPr>
          <w:rFonts w:asciiTheme="minorHAnsi" w:hAnsiTheme="minorHAnsi" w:cstheme="minorHAnsi"/>
        </w:rPr>
      </w:pPr>
    </w:p>
    <w:sectPr w:rsidR="001C6DC4" w:rsidRPr="0097650A" w:rsidSect="00A91FD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/>
      <w:pgMar w:top="1421" w:right="1509" w:bottom="1418" w:left="1416" w:header="1701" w:footer="70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E99A" w14:textId="77777777" w:rsidR="001B4842" w:rsidRDefault="001B4842" w:rsidP="00EF1534">
      <w:pPr>
        <w:spacing w:after="0" w:line="240" w:lineRule="auto"/>
      </w:pPr>
      <w:r>
        <w:separator/>
      </w:r>
    </w:p>
  </w:endnote>
  <w:endnote w:type="continuationSeparator" w:id="0">
    <w:p w14:paraId="3D131BCD" w14:textId="77777777" w:rsidR="001B4842" w:rsidRDefault="001B4842" w:rsidP="00EF1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1AC1" w14:textId="77777777" w:rsidR="00654CAE" w:rsidRDefault="00C33C71">
    <w:pPr>
      <w:spacing w:after="0"/>
      <w:ind w:right="-9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u w:val="none"/>
      </w:rPr>
      <w:t>1</w:t>
    </w:r>
    <w:r>
      <w:rPr>
        <w:u w:val="none"/>
      </w:rPr>
      <w:fldChar w:fldCharType="end"/>
    </w:r>
    <w:r>
      <w:rPr>
        <w:u w:val="none"/>
      </w:rPr>
      <w:t xml:space="preserve"> </w:t>
    </w:r>
  </w:p>
  <w:p w14:paraId="12121A49" w14:textId="77777777" w:rsidR="00654CAE" w:rsidRDefault="00C33C71">
    <w:pPr>
      <w:spacing w:after="0"/>
    </w:pPr>
    <w:r>
      <w:rPr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1D2BF" w14:textId="6ED6EFE6" w:rsidR="00654CAE" w:rsidRDefault="001B4842">
    <w:pPr>
      <w:spacing w:after="0"/>
      <w:ind w:right="-91"/>
      <w:jc w:val="right"/>
    </w:pPr>
  </w:p>
  <w:p w14:paraId="604EE312" w14:textId="77777777" w:rsidR="00654CAE" w:rsidRDefault="00C33C71">
    <w:pPr>
      <w:spacing w:after="0"/>
    </w:pPr>
    <w:r>
      <w:rPr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972F1" w14:textId="546D1EBA" w:rsidR="00654CAE" w:rsidRDefault="001B4842">
    <w:pPr>
      <w:spacing w:after="0"/>
      <w:ind w:right="-91"/>
      <w:jc w:val="right"/>
    </w:pPr>
  </w:p>
  <w:p w14:paraId="5ABB81E8" w14:textId="77777777" w:rsidR="00654CAE" w:rsidRDefault="00C33C71">
    <w:pPr>
      <w:spacing w:after="0"/>
    </w:pPr>
    <w:r>
      <w:rPr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6C775" w14:textId="77777777" w:rsidR="001B4842" w:rsidRDefault="001B4842" w:rsidP="00EF1534">
      <w:pPr>
        <w:spacing w:after="0" w:line="240" w:lineRule="auto"/>
      </w:pPr>
      <w:r>
        <w:separator/>
      </w:r>
    </w:p>
  </w:footnote>
  <w:footnote w:type="continuationSeparator" w:id="0">
    <w:p w14:paraId="3E117C44" w14:textId="77777777" w:rsidR="001B4842" w:rsidRDefault="001B4842" w:rsidP="00EF1534">
      <w:pPr>
        <w:spacing w:after="0" w:line="240" w:lineRule="auto"/>
      </w:pPr>
      <w:r>
        <w:continuationSeparator/>
      </w:r>
    </w:p>
  </w:footnote>
  <w:footnote w:id="1">
    <w:p w14:paraId="3BC1AA82" w14:textId="77777777" w:rsidR="006B29C8" w:rsidRPr="0097650A" w:rsidRDefault="006B29C8" w:rsidP="0097650A">
      <w:pPr>
        <w:pStyle w:val="footnotedescription"/>
        <w:spacing w:line="276" w:lineRule="auto"/>
        <w:rPr>
          <w:rFonts w:asciiTheme="minorHAnsi" w:hAnsiTheme="minorHAnsi" w:cstheme="minorHAnsi"/>
          <w:sz w:val="24"/>
        </w:rPr>
      </w:pPr>
      <w:r w:rsidRPr="0097650A">
        <w:rPr>
          <w:rStyle w:val="footnotemark"/>
          <w:rFonts w:asciiTheme="minorHAnsi" w:hAnsiTheme="minorHAnsi" w:cstheme="minorHAnsi"/>
          <w:sz w:val="24"/>
        </w:rPr>
        <w:footnoteRef/>
      </w:r>
      <w:r w:rsidRPr="0097650A">
        <w:rPr>
          <w:rFonts w:asciiTheme="minorHAnsi" w:hAnsiTheme="minorHAnsi" w:cstheme="minorHAnsi"/>
          <w:sz w:val="24"/>
        </w:rPr>
        <w:t xml:space="preserve"> Nie dotyczy noclegów rozliczanych w ramach kosztów delegacji; w takim przypadku koszty przysługujące z tytułu podróży służbowych powinny być zgodne z rozporządzeniem Ministra Pracy i Polityki Społecznej z dnia 30 czerwca 2022 zmieniające rozporządzenie w sprawie należności przysługujących pracownikowi zatrudnionemu w państwowej lub samorządowej jednostce sfery budżetowej z tytułu podróży służbowe </w:t>
      </w:r>
    </w:p>
  </w:footnote>
  <w:footnote w:id="2">
    <w:p w14:paraId="4438AB91" w14:textId="77777777" w:rsidR="006B29C8" w:rsidRPr="0097650A" w:rsidRDefault="006B29C8" w:rsidP="0097650A">
      <w:pPr>
        <w:pStyle w:val="footnotedescription"/>
        <w:spacing w:line="276" w:lineRule="auto"/>
        <w:rPr>
          <w:rFonts w:asciiTheme="minorHAnsi" w:hAnsiTheme="minorHAnsi" w:cstheme="minorHAnsi"/>
          <w:sz w:val="24"/>
        </w:rPr>
      </w:pPr>
      <w:r w:rsidRPr="0097650A">
        <w:rPr>
          <w:rStyle w:val="footnotemark"/>
          <w:rFonts w:asciiTheme="minorHAnsi" w:hAnsiTheme="minorHAnsi" w:cstheme="minorHAnsi"/>
          <w:sz w:val="24"/>
        </w:rPr>
        <w:t>2</w:t>
      </w:r>
      <w:r w:rsidRPr="0097650A">
        <w:rPr>
          <w:rFonts w:asciiTheme="minorHAnsi" w:hAnsiTheme="minorHAnsi" w:cstheme="minorHAnsi"/>
          <w:sz w:val="24"/>
        </w:rPr>
        <w:t xml:space="preserve"> 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 Ministra Pracy i Polityki Społecznej z dnia 30 czerwca 2022 zmieniające rozporządzenie w sprawie należności przysługujących pracownikowi zatrudnionemu w państwowej lub samorządowej jednostce sfery budżetowej z tytułu podróży służbowe.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515391"/>
      <w:docPartObj>
        <w:docPartGallery w:val="Page Numbers (Top of Page)"/>
        <w:docPartUnique/>
      </w:docPartObj>
    </w:sdtPr>
    <w:sdtEndPr>
      <w:rPr>
        <w:u w:val="none"/>
      </w:rPr>
    </w:sdtEndPr>
    <w:sdtContent>
      <w:p w14:paraId="63B2FF55" w14:textId="3D371AD1" w:rsidR="00A91FDC" w:rsidRPr="005A7C63" w:rsidRDefault="0096015A">
        <w:pPr>
          <w:pStyle w:val="Nagwek"/>
          <w:jc w:val="right"/>
          <w:rPr>
            <w:u w:val="none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5DEE809" wp14:editId="7487B983">
              <wp:simplePos x="0" y="0"/>
              <wp:positionH relativeFrom="page">
                <wp:align>center</wp:align>
              </wp:positionH>
              <wp:positionV relativeFrom="paragraph">
                <wp:posOffset>-666750</wp:posOffset>
              </wp:positionV>
              <wp:extent cx="5762625" cy="523875"/>
              <wp:effectExtent l="0" t="0" r="9525" b="9525"/>
              <wp:wrapNone/>
              <wp:docPr id="1637922481" name="Obraz 1637922481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1FDC" w:rsidRPr="0032443C">
          <w:rPr>
            <w:rFonts w:ascii="Calibri" w:hAnsi="Calibri" w:cs="Calibri"/>
            <w:sz w:val="24"/>
            <w:szCs w:val="24"/>
            <w:u w:val="none"/>
          </w:rPr>
          <w:fldChar w:fldCharType="begin"/>
        </w:r>
        <w:r w:rsidR="00A91FDC" w:rsidRPr="0032443C">
          <w:rPr>
            <w:rFonts w:ascii="Calibri" w:hAnsi="Calibri" w:cs="Calibri"/>
            <w:sz w:val="24"/>
            <w:szCs w:val="24"/>
            <w:u w:val="none"/>
          </w:rPr>
          <w:instrText>PAGE   \* MERGEFORMAT</w:instrText>
        </w:r>
        <w:r w:rsidR="00A91FDC" w:rsidRPr="0032443C">
          <w:rPr>
            <w:rFonts w:ascii="Calibri" w:hAnsi="Calibri" w:cs="Calibri"/>
            <w:sz w:val="24"/>
            <w:szCs w:val="24"/>
            <w:u w:val="none"/>
          </w:rPr>
          <w:fldChar w:fldCharType="separate"/>
        </w:r>
        <w:r w:rsidR="0097650A">
          <w:rPr>
            <w:rFonts w:ascii="Calibri" w:hAnsi="Calibri" w:cs="Calibri"/>
            <w:noProof/>
            <w:sz w:val="24"/>
            <w:szCs w:val="24"/>
            <w:u w:val="none"/>
          </w:rPr>
          <w:t>13</w:t>
        </w:r>
        <w:r w:rsidR="00A91FDC" w:rsidRPr="0032443C">
          <w:rPr>
            <w:rFonts w:ascii="Calibri" w:hAnsi="Calibri" w:cs="Calibri"/>
            <w:sz w:val="24"/>
            <w:szCs w:val="24"/>
            <w:u w:val="none"/>
          </w:rPr>
          <w:fldChar w:fldCharType="end"/>
        </w:r>
      </w:p>
    </w:sdtContent>
  </w:sdt>
  <w:p w14:paraId="7A125EEC" w14:textId="77777777" w:rsidR="00A91FDC" w:rsidRDefault="00A91F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769324"/>
      <w:docPartObj>
        <w:docPartGallery w:val="Page Numbers (Top of Page)"/>
        <w:docPartUnique/>
      </w:docPartObj>
    </w:sdtPr>
    <w:sdtEndPr/>
    <w:sdtContent>
      <w:p w14:paraId="55CF8F69" w14:textId="087E9CB3" w:rsidR="0096015A" w:rsidRDefault="0096015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50A">
          <w:rPr>
            <w:noProof/>
          </w:rPr>
          <w:t>1</w:t>
        </w:r>
        <w:r>
          <w:fldChar w:fldCharType="end"/>
        </w:r>
      </w:p>
    </w:sdtContent>
  </w:sdt>
  <w:p w14:paraId="4D1AE3B3" w14:textId="77777777" w:rsidR="0096015A" w:rsidRDefault="00960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6AB"/>
    <w:multiLevelType w:val="hybridMultilevel"/>
    <w:tmpl w:val="82963DE4"/>
    <w:lvl w:ilvl="0" w:tplc="2F8C7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56A"/>
    <w:multiLevelType w:val="hybridMultilevel"/>
    <w:tmpl w:val="B4C8E73E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2114A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A27C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F62F96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0258A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6B70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6992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0242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8ACA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573131"/>
    <w:multiLevelType w:val="hybridMultilevel"/>
    <w:tmpl w:val="325C6A46"/>
    <w:lvl w:ilvl="0" w:tplc="2F8C7796">
      <w:start w:val="1"/>
      <w:numFmt w:val="bullet"/>
      <w:lvlText w:val=""/>
      <w:lvlJc w:val="left"/>
      <w:pPr>
        <w:ind w:left="4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36A9AE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82086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8062E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043B4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2A03AE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F63DF4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E0CE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436F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3F1EE8"/>
    <w:multiLevelType w:val="hybridMultilevel"/>
    <w:tmpl w:val="F1E23594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76FD7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74AFB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24E8C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F6F61E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00ACB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8F2F4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090C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06ACC4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58623A"/>
    <w:multiLevelType w:val="hybridMultilevel"/>
    <w:tmpl w:val="41547DDA"/>
    <w:lvl w:ilvl="0" w:tplc="313AEC42">
      <w:start w:val="1"/>
      <w:numFmt w:val="bullet"/>
      <w:lvlText w:val="•"/>
      <w:lvlJc w:val="left"/>
      <w:pPr>
        <w:ind w:left="111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5" w15:restartNumberingAfterBreak="0">
    <w:nsid w:val="1B7E73FA"/>
    <w:multiLevelType w:val="hybridMultilevel"/>
    <w:tmpl w:val="A19C5A20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503E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8D9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AF4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1E19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A19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C4C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FED59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EC2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A02680"/>
    <w:multiLevelType w:val="hybridMultilevel"/>
    <w:tmpl w:val="015A1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9220E"/>
    <w:multiLevelType w:val="hybridMultilevel"/>
    <w:tmpl w:val="6F50B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B3DF9"/>
    <w:multiLevelType w:val="hybridMultilevel"/>
    <w:tmpl w:val="61F42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C4D"/>
    <w:multiLevelType w:val="hybridMultilevel"/>
    <w:tmpl w:val="12B4EAF8"/>
    <w:lvl w:ilvl="0" w:tplc="313AEC4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46939"/>
    <w:multiLevelType w:val="hybridMultilevel"/>
    <w:tmpl w:val="1E981FEE"/>
    <w:lvl w:ilvl="0" w:tplc="0415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315415CD"/>
    <w:multiLevelType w:val="hybridMultilevel"/>
    <w:tmpl w:val="54E671F0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1887C0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9877C2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621BB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BC9F9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B49C6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6357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B8EAB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5230A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7A7BF0"/>
    <w:multiLevelType w:val="hybridMultilevel"/>
    <w:tmpl w:val="DF904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B1DED"/>
    <w:multiLevelType w:val="hybridMultilevel"/>
    <w:tmpl w:val="6DF6F61E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41C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FE901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C83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7607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4F5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853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568D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8B9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432FAC"/>
    <w:multiLevelType w:val="hybridMultilevel"/>
    <w:tmpl w:val="0F30F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F7F21"/>
    <w:multiLevelType w:val="hybridMultilevel"/>
    <w:tmpl w:val="99328C00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899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C2F4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022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3A02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8E7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69C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2A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260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1C321B"/>
    <w:multiLevelType w:val="hybridMultilevel"/>
    <w:tmpl w:val="0832E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C2171"/>
    <w:multiLevelType w:val="hybridMultilevel"/>
    <w:tmpl w:val="18DE5C4C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2CD4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5A54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8C6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6AA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A294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A91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FCF7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3E9D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E5B568B"/>
    <w:multiLevelType w:val="hybridMultilevel"/>
    <w:tmpl w:val="C6D21C38"/>
    <w:lvl w:ilvl="0" w:tplc="0415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9" w15:restartNumberingAfterBreak="0">
    <w:nsid w:val="7A637E02"/>
    <w:multiLevelType w:val="hybridMultilevel"/>
    <w:tmpl w:val="1D1C4412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2891C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641B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10C1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026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081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5C2D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815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93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7819A7"/>
    <w:multiLevelType w:val="hybridMultilevel"/>
    <w:tmpl w:val="3488A4C6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621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EC0D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AEC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66F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26D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A4C7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EAC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54BF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CB6F7E"/>
    <w:multiLevelType w:val="hybridMultilevel"/>
    <w:tmpl w:val="2B223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15B74"/>
    <w:multiLevelType w:val="hybridMultilevel"/>
    <w:tmpl w:val="6A4683EA"/>
    <w:lvl w:ilvl="0" w:tplc="2F8C7796">
      <w:start w:val="1"/>
      <w:numFmt w:val="bullet"/>
      <w:lvlText w:val=""/>
      <w:lvlJc w:val="left"/>
      <w:pPr>
        <w:ind w:left="39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ED4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70916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298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3A69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CEF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9EB7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52CD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B4A8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FFD641F"/>
    <w:multiLevelType w:val="hybridMultilevel"/>
    <w:tmpl w:val="64EE8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"/>
  </w:num>
  <w:num w:numId="5">
    <w:abstractNumId w:val="5"/>
  </w:num>
  <w:num w:numId="6">
    <w:abstractNumId w:val="17"/>
  </w:num>
  <w:num w:numId="7">
    <w:abstractNumId w:val="2"/>
  </w:num>
  <w:num w:numId="8">
    <w:abstractNumId w:val="11"/>
  </w:num>
  <w:num w:numId="9">
    <w:abstractNumId w:val="22"/>
  </w:num>
  <w:num w:numId="10">
    <w:abstractNumId w:val="13"/>
  </w:num>
  <w:num w:numId="11">
    <w:abstractNumId w:val="19"/>
  </w:num>
  <w:num w:numId="12">
    <w:abstractNumId w:val="8"/>
  </w:num>
  <w:num w:numId="13">
    <w:abstractNumId w:val="7"/>
  </w:num>
  <w:num w:numId="14">
    <w:abstractNumId w:val="21"/>
  </w:num>
  <w:num w:numId="15">
    <w:abstractNumId w:val="10"/>
  </w:num>
  <w:num w:numId="16">
    <w:abstractNumId w:val="18"/>
  </w:num>
  <w:num w:numId="17">
    <w:abstractNumId w:val="14"/>
  </w:num>
  <w:num w:numId="18">
    <w:abstractNumId w:val="12"/>
  </w:num>
  <w:num w:numId="19">
    <w:abstractNumId w:val="16"/>
  </w:num>
  <w:num w:numId="20">
    <w:abstractNumId w:val="23"/>
  </w:num>
  <w:num w:numId="21">
    <w:abstractNumId w:val="6"/>
  </w:num>
  <w:num w:numId="22">
    <w:abstractNumId w:val="4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1C"/>
    <w:rsid w:val="00041E66"/>
    <w:rsid w:val="0007111C"/>
    <w:rsid w:val="001B4842"/>
    <w:rsid w:val="001C6DC4"/>
    <w:rsid w:val="00307B2F"/>
    <w:rsid w:val="0032443C"/>
    <w:rsid w:val="00356645"/>
    <w:rsid w:val="00361893"/>
    <w:rsid w:val="003E5B8A"/>
    <w:rsid w:val="00404B8D"/>
    <w:rsid w:val="00422F0D"/>
    <w:rsid w:val="0049432D"/>
    <w:rsid w:val="00500A50"/>
    <w:rsid w:val="005A7C63"/>
    <w:rsid w:val="005E6DF6"/>
    <w:rsid w:val="0062623A"/>
    <w:rsid w:val="00644234"/>
    <w:rsid w:val="00687756"/>
    <w:rsid w:val="006A3B0F"/>
    <w:rsid w:val="006B29C8"/>
    <w:rsid w:val="00711C78"/>
    <w:rsid w:val="00772BAF"/>
    <w:rsid w:val="00805F9D"/>
    <w:rsid w:val="0083463C"/>
    <w:rsid w:val="0096015A"/>
    <w:rsid w:val="00971930"/>
    <w:rsid w:val="0097650A"/>
    <w:rsid w:val="00981777"/>
    <w:rsid w:val="009C3A15"/>
    <w:rsid w:val="00A01661"/>
    <w:rsid w:val="00A348B7"/>
    <w:rsid w:val="00A91FDC"/>
    <w:rsid w:val="00AB3020"/>
    <w:rsid w:val="00AF3A2F"/>
    <w:rsid w:val="00B170F3"/>
    <w:rsid w:val="00B76B6E"/>
    <w:rsid w:val="00B90490"/>
    <w:rsid w:val="00C33C71"/>
    <w:rsid w:val="00CF612A"/>
    <w:rsid w:val="00D536CB"/>
    <w:rsid w:val="00D84068"/>
    <w:rsid w:val="00EF1534"/>
    <w:rsid w:val="00F561B3"/>
    <w:rsid w:val="00FC4C29"/>
    <w:rsid w:val="00F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3D97"/>
  <w15:chartTrackingRefBased/>
  <w15:docId w15:val="{E7419FA9-1F4E-4D7A-8B68-09CE660F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1534"/>
    <w:pPr>
      <w:spacing w:after="60"/>
    </w:pPr>
    <w:rPr>
      <w:rFonts w:ascii="Times New Roman" w:eastAsia="Times New Roman" w:hAnsi="Times New Roman" w:cs="Times New Roman"/>
      <w:color w:val="000000"/>
      <w:u w:val="single" w:color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B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5B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EF1534"/>
    <w:pPr>
      <w:spacing w:after="0" w:line="26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F1534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F153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F153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F1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534"/>
    <w:rPr>
      <w:rFonts w:ascii="Times New Roman" w:eastAsia="Times New Roman" w:hAnsi="Times New Roman" w:cs="Times New Roman"/>
      <w:color w:val="000000"/>
      <w:u w:val="single" w:color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34"/>
    <w:rPr>
      <w:rFonts w:ascii="Times New Roman" w:eastAsia="Times New Roman" w:hAnsi="Times New Roman" w:cs="Times New Roman"/>
      <w:color w:val="000000"/>
      <w:sz w:val="20"/>
      <w:szCs w:val="20"/>
      <w:u w:val="single" w:color="00000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B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BAF"/>
    <w:pPr>
      <w:spacing w:after="200"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0"/>
      <w:u w:val="none"/>
      <w:lang w:eastAsia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AF"/>
    <w:rPr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F0D"/>
    <w:rPr>
      <w:rFonts w:ascii="Segoe UI" w:eastAsia="Times New Roman" w:hAnsi="Segoe UI" w:cs="Segoe UI"/>
      <w:color w:val="000000"/>
      <w:sz w:val="18"/>
      <w:szCs w:val="18"/>
      <w:u w:val="single" w:color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5B8A"/>
    <w:rPr>
      <w:rFonts w:asciiTheme="majorHAnsi" w:eastAsiaTheme="majorEastAsia" w:hAnsiTheme="majorHAnsi" w:cstheme="majorBidi"/>
      <w:color w:val="2F5496" w:themeColor="accent1" w:themeShade="BF"/>
      <w:sz w:val="32"/>
      <w:szCs w:val="32"/>
      <w:u w:val="single" w:color="0000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E5B8A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BEEFA-F6B2-43E9-BC02-09BD6ED5F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13</Pages>
  <Words>1889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Regulaminu wyboru projektów</vt:lpstr>
    </vt:vector>
  </TitlesOfParts>
  <Company/>
  <LinksUpToDate>false</LinksUpToDate>
  <CharactersWithSpaces>13198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standardu i cen rynkowych dla programu Fundusze Europejskie dla Rozwoju Społecznego 2021-2027</dc:title>
  <dc:subject/>
  <dc:creator>Chotej Mateusz</dc:creator>
  <cp:keywords>PL, PARP, Fundusze Europejskie</cp:keywords>
  <dc:description/>
  <cp:lastModifiedBy>Skowera Paweł</cp:lastModifiedBy>
  <cp:revision>33</cp:revision>
  <dcterms:created xsi:type="dcterms:W3CDTF">2023-05-17T08:22:00Z</dcterms:created>
  <dcterms:modified xsi:type="dcterms:W3CDTF">2023-05-23T07:33:00Z</dcterms:modified>
</cp:coreProperties>
</file>